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B6A8A2" w14:textId="77777777" w:rsidR="001E748D" w:rsidRDefault="000F235D">
      <w:pPr>
        <w:pageBreakBefore/>
        <w:spacing w:beforeLines="300" w:before="936"/>
        <w:jc w:val="center"/>
        <w:rPr>
          <w:rFonts w:eastAsia="黑体"/>
          <w:sz w:val="72"/>
          <w:szCs w:val="72"/>
        </w:rPr>
      </w:pPr>
      <w:r>
        <w:rPr>
          <w:rFonts w:ascii="黑体" w:eastAsia="黑体" w:hint="eastAsia"/>
          <w:spacing w:val="60"/>
          <w:w w:val="90"/>
          <w:sz w:val="84"/>
          <w:szCs w:val="84"/>
        </w:rPr>
        <w:t>企业安全生产管理台账</w:t>
      </w:r>
    </w:p>
    <w:p w14:paraId="5A70441D" w14:textId="77777777" w:rsidR="001E748D" w:rsidRDefault="001E748D">
      <w:pPr>
        <w:spacing w:beforeLines="150" w:before="468"/>
        <w:rPr>
          <w:rFonts w:eastAsia="仿宋_GB2312"/>
          <w:sz w:val="32"/>
          <w:szCs w:val="32"/>
        </w:rPr>
      </w:pPr>
    </w:p>
    <w:p w14:paraId="1FF1F0A4" w14:textId="77777777" w:rsidR="001E748D" w:rsidRDefault="001E748D">
      <w:pPr>
        <w:spacing w:beforeLines="150" w:before="468"/>
        <w:rPr>
          <w:rFonts w:eastAsia="仿宋_GB2312"/>
          <w:sz w:val="32"/>
          <w:szCs w:val="32"/>
        </w:rPr>
      </w:pPr>
    </w:p>
    <w:p w14:paraId="1FA990D5" w14:textId="77777777" w:rsidR="001E748D" w:rsidRDefault="000F235D">
      <w:pPr>
        <w:spacing w:beforeLines="50" w:before="156"/>
        <w:ind w:firstLineChars="800" w:firstLine="3520"/>
        <w:rPr>
          <w:rFonts w:ascii="黑体" w:eastAsia="黑体"/>
          <w:sz w:val="44"/>
          <w:szCs w:val="44"/>
          <w:u w:val="single"/>
        </w:rPr>
      </w:pPr>
      <w:r>
        <w:rPr>
          <w:rFonts w:eastAsia="楷体_GB2312"/>
          <w:sz w:val="44"/>
          <w:szCs w:val="44"/>
        </w:rPr>
        <w:t>台账种类</w:t>
      </w:r>
      <w:r>
        <w:rPr>
          <w:rFonts w:eastAsia="楷体_GB2312"/>
          <w:sz w:val="44"/>
          <w:szCs w:val="44"/>
        </w:rPr>
        <w:t>:</w:t>
      </w:r>
      <w:r>
        <w:rPr>
          <w:rFonts w:hint="eastAsia"/>
          <w:b/>
          <w:sz w:val="44"/>
          <w:szCs w:val="44"/>
        </w:rPr>
        <w:t xml:space="preserve"> </w:t>
      </w:r>
      <w:r>
        <w:rPr>
          <w:rFonts w:ascii="黑体" w:eastAsia="黑体" w:hint="eastAsia"/>
          <w:sz w:val="44"/>
          <w:szCs w:val="44"/>
          <w:u w:val="single"/>
        </w:rPr>
        <w:t>安全设施“三同时”管理台账</w:t>
      </w:r>
    </w:p>
    <w:p w14:paraId="4725F945" w14:textId="7E83D0B2" w:rsidR="001E748D" w:rsidRDefault="000F235D">
      <w:pPr>
        <w:spacing w:beforeLines="50" w:before="156"/>
        <w:ind w:firstLineChars="800" w:firstLine="3520"/>
        <w:rPr>
          <w:rFonts w:eastAsia="楷体_GB2312"/>
          <w:sz w:val="44"/>
          <w:szCs w:val="44"/>
        </w:rPr>
      </w:pPr>
      <w:r>
        <w:rPr>
          <w:rFonts w:eastAsia="楷体_GB2312"/>
          <w:sz w:val="44"/>
          <w:szCs w:val="44"/>
        </w:rPr>
        <w:t>单位名称</w:t>
      </w:r>
      <w:r>
        <w:rPr>
          <w:rFonts w:eastAsia="楷体_GB2312"/>
          <w:sz w:val="44"/>
          <w:szCs w:val="44"/>
        </w:rPr>
        <w:t>:</w:t>
      </w:r>
      <w:r>
        <w:rPr>
          <w:rFonts w:eastAsia="楷体_GB2312" w:hint="eastAsia"/>
          <w:sz w:val="44"/>
          <w:szCs w:val="44"/>
          <w:u w:val="single"/>
        </w:rPr>
        <w:t>有限公司</w:t>
      </w:r>
    </w:p>
    <w:p w14:paraId="16D8A742" w14:textId="77777777" w:rsidR="001E748D" w:rsidRDefault="000F235D">
      <w:pPr>
        <w:spacing w:beforeLines="50" w:before="156"/>
        <w:ind w:firstLineChars="800" w:firstLine="3520"/>
        <w:rPr>
          <w:rFonts w:eastAsia="楷体_GB2312"/>
          <w:sz w:val="44"/>
          <w:szCs w:val="44"/>
          <w:u w:val="single"/>
        </w:rPr>
      </w:pPr>
      <w:r>
        <w:rPr>
          <w:rFonts w:eastAsia="楷体_GB2312"/>
          <w:sz w:val="44"/>
          <w:szCs w:val="44"/>
        </w:rPr>
        <w:t>台账编号</w:t>
      </w:r>
      <w:r>
        <w:rPr>
          <w:rFonts w:eastAsia="楷体_GB2312"/>
          <w:sz w:val="44"/>
          <w:szCs w:val="44"/>
        </w:rPr>
        <w:t>:</w:t>
      </w:r>
      <w:r>
        <w:rPr>
          <w:rFonts w:eastAsia="楷体_GB2312"/>
          <w:sz w:val="44"/>
          <w:szCs w:val="44"/>
          <w:u w:val="single"/>
        </w:rPr>
        <w:t xml:space="preserve">          </w:t>
      </w:r>
      <w:r>
        <w:rPr>
          <w:rFonts w:eastAsia="楷体_GB2312" w:hint="eastAsia"/>
          <w:sz w:val="44"/>
          <w:szCs w:val="44"/>
          <w:u w:val="single"/>
        </w:rPr>
        <w:t>20</w:t>
      </w:r>
      <w:r>
        <w:rPr>
          <w:rFonts w:eastAsia="楷体_GB2312"/>
          <w:sz w:val="44"/>
          <w:szCs w:val="44"/>
          <w:u w:val="single"/>
        </w:rPr>
        <w:t xml:space="preserve">         </w:t>
      </w:r>
      <w:r>
        <w:rPr>
          <w:rFonts w:eastAsia="楷体_GB2312" w:hint="eastAsia"/>
          <w:sz w:val="44"/>
          <w:szCs w:val="44"/>
          <w:u w:val="single"/>
        </w:rPr>
        <w:t xml:space="preserve"> </w:t>
      </w:r>
      <w:r>
        <w:rPr>
          <w:rFonts w:eastAsia="楷体_GB2312"/>
          <w:sz w:val="44"/>
          <w:szCs w:val="44"/>
          <w:u w:val="single"/>
        </w:rPr>
        <w:t xml:space="preserve"> </w:t>
      </w:r>
      <w:r>
        <w:rPr>
          <w:rFonts w:eastAsia="楷体_GB2312" w:hint="eastAsia"/>
          <w:sz w:val="44"/>
          <w:szCs w:val="44"/>
          <w:u w:val="single"/>
        </w:rPr>
        <w:t xml:space="preserve">    </w:t>
      </w:r>
    </w:p>
    <w:p w14:paraId="109544A1" w14:textId="77777777" w:rsidR="001E748D" w:rsidRDefault="001E748D">
      <w:pPr>
        <w:spacing w:beforeLines="150" w:before="468"/>
        <w:jc w:val="center"/>
        <w:rPr>
          <w:rFonts w:eastAsia="楷体_GB2312"/>
          <w:spacing w:val="14"/>
          <w:sz w:val="36"/>
          <w:szCs w:val="36"/>
        </w:rPr>
      </w:pPr>
    </w:p>
    <w:p w14:paraId="49768A10" w14:textId="77777777" w:rsidR="001E748D" w:rsidRDefault="001E748D">
      <w:pPr>
        <w:spacing w:beforeLines="150" w:before="468"/>
        <w:jc w:val="center"/>
        <w:rPr>
          <w:rFonts w:eastAsia="楷体_GB2312"/>
          <w:spacing w:val="14"/>
          <w:sz w:val="36"/>
          <w:szCs w:val="36"/>
        </w:rPr>
      </w:pPr>
    </w:p>
    <w:p w14:paraId="639B5CC8" w14:textId="77777777" w:rsidR="001E748D" w:rsidRDefault="001E748D">
      <w:pPr>
        <w:spacing w:beforeLines="150" w:before="468"/>
        <w:jc w:val="center"/>
        <w:rPr>
          <w:rFonts w:eastAsia="楷体_GB2312"/>
          <w:spacing w:val="14"/>
          <w:sz w:val="36"/>
          <w:szCs w:val="36"/>
        </w:rPr>
      </w:pPr>
    </w:p>
    <w:p w14:paraId="5A433DBF" w14:textId="77777777" w:rsidR="001E748D" w:rsidRDefault="000F235D">
      <w:pPr>
        <w:jc w:val="center"/>
        <w:rPr>
          <w:b/>
          <w:sz w:val="44"/>
          <w:szCs w:val="44"/>
        </w:rPr>
      </w:pPr>
      <w:r>
        <w:rPr>
          <w:rFonts w:hint="eastAsia"/>
          <w:b/>
          <w:sz w:val="44"/>
          <w:szCs w:val="44"/>
        </w:rPr>
        <w:t>说</w:t>
      </w:r>
      <w:r>
        <w:rPr>
          <w:rFonts w:hint="eastAsia"/>
          <w:b/>
          <w:sz w:val="44"/>
          <w:szCs w:val="44"/>
        </w:rPr>
        <w:t xml:space="preserve">  </w:t>
      </w:r>
      <w:r>
        <w:rPr>
          <w:rFonts w:hint="eastAsia"/>
          <w:b/>
          <w:sz w:val="44"/>
          <w:szCs w:val="44"/>
        </w:rPr>
        <w:t>明</w:t>
      </w:r>
    </w:p>
    <w:p w14:paraId="60A4A11A" w14:textId="77777777" w:rsidR="001E748D" w:rsidRDefault="000F235D">
      <w:pPr>
        <w:spacing w:line="300" w:lineRule="exact"/>
        <w:ind w:firstLineChars="200" w:firstLine="480"/>
        <w:rPr>
          <w:rFonts w:eastAsia="仿宋_GB2312"/>
          <w:sz w:val="24"/>
        </w:rPr>
      </w:pPr>
      <w:r>
        <w:rPr>
          <w:rFonts w:eastAsia="仿宋_GB2312" w:hint="eastAsia"/>
          <w:sz w:val="24"/>
        </w:rPr>
        <w:t>一、《中华人民共和国安全生产法》第二十四条</w:t>
      </w:r>
      <w:r>
        <w:rPr>
          <w:rFonts w:eastAsia="仿宋_GB2312" w:hint="eastAsia"/>
          <w:sz w:val="24"/>
        </w:rPr>
        <w:t xml:space="preserve"> </w:t>
      </w:r>
      <w:r>
        <w:rPr>
          <w:rFonts w:eastAsia="仿宋_GB2312" w:hint="eastAsia"/>
          <w:sz w:val="24"/>
        </w:rPr>
        <w:t>生产经营单位新建、改建、扩建工程项目（以下统称建设项目）的安全设施，必须与主体工程同时设计、同时施工、投入生产的使用。安全设施投资应当纳入建设项目概算。</w:t>
      </w:r>
    </w:p>
    <w:p w14:paraId="26C53EAF" w14:textId="77777777" w:rsidR="001E748D" w:rsidRDefault="000F235D">
      <w:pPr>
        <w:spacing w:line="300" w:lineRule="exact"/>
        <w:ind w:firstLineChars="200" w:firstLine="480"/>
        <w:rPr>
          <w:rFonts w:eastAsia="仿宋_GB2312"/>
          <w:sz w:val="24"/>
        </w:rPr>
      </w:pPr>
      <w:r>
        <w:rPr>
          <w:rFonts w:eastAsia="仿宋_GB2312" w:hint="eastAsia"/>
          <w:sz w:val="24"/>
        </w:rPr>
        <w:t>二、《</w:t>
      </w:r>
      <w:r>
        <w:rPr>
          <w:rFonts w:eastAsia="仿宋_GB2312"/>
          <w:sz w:val="24"/>
        </w:rPr>
        <w:t>山东省工业生产建设项目安全设施监督管理办法</w:t>
      </w:r>
      <w:r>
        <w:rPr>
          <w:rFonts w:eastAsia="仿宋_GB2312" w:hint="eastAsia"/>
          <w:sz w:val="24"/>
        </w:rPr>
        <w:t>》（省政府第</w:t>
      </w:r>
      <w:r>
        <w:rPr>
          <w:rFonts w:eastAsia="仿宋_GB2312" w:hint="eastAsia"/>
          <w:sz w:val="24"/>
        </w:rPr>
        <w:t>213</w:t>
      </w:r>
      <w:r>
        <w:rPr>
          <w:rFonts w:eastAsia="仿宋_GB2312" w:hint="eastAsia"/>
          <w:sz w:val="24"/>
        </w:rPr>
        <w:t>号令）</w:t>
      </w:r>
      <w:r>
        <w:rPr>
          <w:rFonts w:eastAsia="仿宋_GB2312"/>
          <w:sz w:val="24"/>
        </w:rPr>
        <w:t>第五条　建设项目安全设施必须与主体工程同时设计、同时施工、同时验收、同时投入生产和使用。安全设施投资应当纳入建设项目概算。投资建设工程项目的生产经营单位</w:t>
      </w:r>
      <w:r>
        <w:rPr>
          <w:rFonts w:eastAsia="仿宋_GB2312"/>
          <w:sz w:val="24"/>
        </w:rPr>
        <w:t>(</w:t>
      </w:r>
      <w:r>
        <w:rPr>
          <w:rFonts w:eastAsia="仿宋_GB2312"/>
          <w:sz w:val="24"/>
        </w:rPr>
        <w:t>以下统称投资建设单位</w:t>
      </w:r>
      <w:r>
        <w:rPr>
          <w:rFonts w:eastAsia="仿宋_GB2312"/>
          <w:sz w:val="24"/>
        </w:rPr>
        <w:t>)</w:t>
      </w:r>
      <w:r>
        <w:rPr>
          <w:rFonts w:eastAsia="仿宋_GB2312"/>
          <w:sz w:val="24"/>
        </w:rPr>
        <w:t>对其承担主体责任，其主要负责人负责全面落实。</w:t>
      </w:r>
    </w:p>
    <w:p w14:paraId="78028A0D" w14:textId="77777777" w:rsidR="001E748D" w:rsidRDefault="000F235D">
      <w:pPr>
        <w:spacing w:line="300" w:lineRule="exact"/>
        <w:ind w:firstLineChars="200" w:firstLine="480"/>
        <w:rPr>
          <w:rFonts w:eastAsia="仿宋_GB2312"/>
          <w:sz w:val="24"/>
        </w:rPr>
      </w:pPr>
      <w:r>
        <w:rPr>
          <w:rFonts w:eastAsia="仿宋_GB2312"/>
          <w:sz w:val="24"/>
        </w:rPr>
        <w:t>第十四条　建设项目安全设施设计应当依法委托具备相应资质的设计单位</w:t>
      </w:r>
      <w:r>
        <w:rPr>
          <w:rFonts w:eastAsia="仿宋_GB2312"/>
          <w:sz w:val="24"/>
        </w:rPr>
        <w:t>进行。设计单位应当依据有关安全生产的法律、法规、规章和标准以及建设项目设立安全评价报告，对建设项目安全设施进行设计，并编制安全设施设计专篇。</w:t>
      </w:r>
    </w:p>
    <w:p w14:paraId="147703B2" w14:textId="77777777" w:rsidR="001E748D" w:rsidRDefault="000F235D">
      <w:pPr>
        <w:spacing w:line="300" w:lineRule="exact"/>
        <w:ind w:firstLineChars="200" w:firstLine="480"/>
        <w:rPr>
          <w:rFonts w:eastAsia="仿宋_GB2312"/>
          <w:sz w:val="24"/>
        </w:rPr>
      </w:pPr>
      <w:r>
        <w:rPr>
          <w:rFonts w:eastAsia="仿宋_GB2312"/>
          <w:sz w:val="24"/>
        </w:rPr>
        <w:t>第二十条　建设项目安全设施的施工单位应当按照批准或者备案的安全设施设计施工，并对安全设施的施工质量负责。</w:t>
      </w:r>
    </w:p>
    <w:p w14:paraId="34D57797" w14:textId="77777777" w:rsidR="001E748D" w:rsidRDefault="000F235D">
      <w:pPr>
        <w:spacing w:line="300" w:lineRule="exact"/>
        <w:ind w:firstLineChars="200" w:firstLine="480"/>
        <w:rPr>
          <w:rFonts w:eastAsia="仿宋_GB2312"/>
          <w:sz w:val="24"/>
        </w:rPr>
      </w:pPr>
      <w:r>
        <w:rPr>
          <w:rFonts w:eastAsia="仿宋_GB2312"/>
          <w:sz w:val="24"/>
        </w:rPr>
        <w:t>第二十三条　建设项目安全设施竣工后，投资建设单位应当依法组织对建设项目安全设施进行检验、检测，保证建设项目安全设施满足安全要求，并处于正常适用状态。</w:t>
      </w:r>
    </w:p>
    <w:p w14:paraId="7C59B0F8" w14:textId="77777777" w:rsidR="001E748D" w:rsidRDefault="000F235D">
      <w:pPr>
        <w:spacing w:line="300" w:lineRule="exact"/>
        <w:ind w:firstLineChars="200" w:firstLine="480"/>
        <w:rPr>
          <w:rFonts w:eastAsia="仿宋_GB2312"/>
          <w:sz w:val="24"/>
        </w:rPr>
      </w:pPr>
      <w:r>
        <w:rPr>
          <w:rFonts w:eastAsia="仿宋_GB2312"/>
          <w:sz w:val="24"/>
        </w:rPr>
        <w:t>第二十六条　重点监管建设项目安全设施竣工验收前，投资建设单位应当依法选择具备相应资质的安全评价机构对建设项目进行安</w:t>
      </w:r>
      <w:r>
        <w:rPr>
          <w:rFonts w:eastAsia="仿宋_GB2312"/>
          <w:sz w:val="24"/>
        </w:rPr>
        <w:t>全评价。已进行试生产</w:t>
      </w:r>
      <w:r>
        <w:rPr>
          <w:rFonts w:eastAsia="仿宋_GB2312"/>
          <w:sz w:val="24"/>
        </w:rPr>
        <w:t>(</w:t>
      </w:r>
      <w:r>
        <w:rPr>
          <w:rFonts w:eastAsia="仿宋_GB2312"/>
          <w:sz w:val="24"/>
        </w:rPr>
        <w:t>使用</w:t>
      </w:r>
      <w:r>
        <w:rPr>
          <w:rFonts w:eastAsia="仿宋_GB2312"/>
          <w:sz w:val="24"/>
        </w:rPr>
        <w:t>)</w:t>
      </w:r>
      <w:r>
        <w:rPr>
          <w:rFonts w:eastAsia="仿宋_GB2312"/>
          <w:sz w:val="24"/>
        </w:rPr>
        <w:t>的，应当对安全设施试生产</w:t>
      </w:r>
      <w:r>
        <w:rPr>
          <w:rFonts w:eastAsia="仿宋_GB2312"/>
          <w:sz w:val="24"/>
        </w:rPr>
        <w:t>(</w:t>
      </w:r>
      <w:r>
        <w:rPr>
          <w:rFonts w:eastAsia="仿宋_GB2312"/>
          <w:sz w:val="24"/>
        </w:rPr>
        <w:t>使用</w:t>
      </w:r>
      <w:r>
        <w:rPr>
          <w:rFonts w:eastAsia="仿宋_GB2312"/>
          <w:sz w:val="24"/>
        </w:rPr>
        <w:t>)</w:t>
      </w:r>
      <w:r>
        <w:rPr>
          <w:rFonts w:eastAsia="仿宋_GB2312"/>
          <w:sz w:val="24"/>
        </w:rPr>
        <w:t>情况一并进行安全评价。安全评价机构应当依据有关安全生产的法律、法规、规章及标准进行安全评价，并对评价报告的真实性负责。</w:t>
      </w:r>
    </w:p>
    <w:p w14:paraId="17E7277C" w14:textId="77777777" w:rsidR="001E748D" w:rsidRDefault="000F235D">
      <w:pPr>
        <w:spacing w:line="300" w:lineRule="exact"/>
        <w:ind w:firstLineChars="200" w:firstLine="480"/>
        <w:rPr>
          <w:rFonts w:eastAsia="仿宋_GB2312"/>
          <w:sz w:val="24"/>
        </w:rPr>
      </w:pPr>
      <w:r>
        <w:rPr>
          <w:rFonts w:eastAsia="仿宋_GB2312"/>
          <w:sz w:val="24"/>
        </w:rPr>
        <w:t>第三十二条　投资建设单位有下列行为之一的，由县级以上人民政府安全生产监督管理部门责令限期改正；逾期未改正的，处</w:t>
      </w:r>
      <w:r>
        <w:rPr>
          <w:rFonts w:eastAsia="仿宋_GB2312"/>
          <w:sz w:val="24"/>
        </w:rPr>
        <w:t>2</w:t>
      </w:r>
      <w:r>
        <w:rPr>
          <w:rFonts w:eastAsia="仿宋_GB2312"/>
          <w:sz w:val="24"/>
        </w:rPr>
        <w:t>万元以上</w:t>
      </w:r>
      <w:r>
        <w:rPr>
          <w:rFonts w:eastAsia="仿宋_GB2312"/>
          <w:sz w:val="24"/>
        </w:rPr>
        <w:t>3</w:t>
      </w:r>
      <w:r>
        <w:rPr>
          <w:rFonts w:eastAsia="仿宋_GB2312"/>
          <w:sz w:val="24"/>
        </w:rPr>
        <w:t>万元以下的罚款；造成严重后果，构成犯罪的，依法追究刑事责任：</w:t>
      </w:r>
    </w:p>
    <w:p w14:paraId="19E29099" w14:textId="77777777" w:rsidR="001E748D" w:rsidRDefault="000F235D">
      <w:pPr>
        <w:spacing w:line="300" w:lineRule="exact"/>
        <w:ind w:firstLineChars="200" w:firstLine="480"/>
        <w:rPr>
          <w:rFonts w:eastAsia="仿宋_GB2312"/>
          <w:sz w:val="24"/>
        </w:rPr>
      </w:pPr>
      <w:r>
        <w:rPr>
          <w:rFonts w:eastAsia="仿宋_GB2312"/>
          <w:sz w:val="24"/>
        </w:rPr>
        <w:t xml:space="preserve"> (</w:t>
      </w:r>
      <w:proofErr w:type="gramStart"/>
      <w:r>
        <w:rPr>
          <w:rFonts w:eastAsia="仿宋_GB2312"/>
          <w:sz w:val="24"/>
        </w:rPr>
        <w:t>一</w:t>
      </w:r>
      <w:proofErr w:type="gramEnd"/>
      <w:r>
        <w:rPr>
          <w:rFonts w:eastAsia="仿宋_GB2312"/>
          <w:sz w:val="24"/>
        </w:rPr>
        <w:t>)</w:t>
      </w:r>
      <w:r>
        <w:rPr>
          <w:rFonts w:eastAsia="仿宋_GB2312"/>
          <w:sz w:val="24"/>
        </w:rPr>
        <w:t>建设项目安全设施设计未经依法审查合格或者变更后未经依法审查合格，擅自开工建设的；</w:t>
      </w:r>
    </w:p>
    <w:p w14:paraId="23D1FB2D" w14:textId="77777777" w:rsidR="001E748D" w:rsidRDefault="000F235D">
      <w:pPr>
        <w:spacing w:line="300" w:lineRule="exact"/>
        <w:ind w:firstLineChars="200" w:firstLine="480"/>
        <w:rPr>
          <w:rFonts w:eastAsia="仿宋_GB2312"/>
          <w:sz w:val="24"/>
        </w:rPr>
      </w:pPr>
      <w:r>
        <w:rPr>
          <w:rFonts w:eastAsia="仿宋_GB2312"/>
          <w:sz w:val="24"/>
        </w:rPr>
        <w:t xml:space="preserve"> (</w:t>
      </w:r>
      <w:r>
        <w:rPr>
          <w:rFonts w:eastAsia="仿宋_GB2312"/>
          <w:sz w:val="24"/>
        </w:rPr>
        <w:t>二</w:t>
      </w:r>
      <w:r>
        <w:rPr>
          <w:rFonts w:eastAsia="仿宋_GB2312"/>
          <w:sz w:val="24"/>
        </w:rPr>
        <w:t>)</w:t>
      </w:r>
      <w:r>
        <w:rPr>
          <w:rFonts w:eastAsia="仿宋_GB2312"/>
          <w:sz w:val="24"/>
        </w:rPr>
        <w:t>建设项目安全设施未经依法验收合格，擅自投入生产和使用的。</w:t>
      </w:r>
    </w:p>
    <w:p w14:paraId="499DACA9" w14:textId="77777777" w:rsidR="001E748D" w:rsidRDefault="000F235D">
      <w:pPr>
        <w:spacing w:line="300" w:lineRule="exact"/>
        <w:ind w:firstLineChars="200" w:firstLine="480"/>
        <w:rPr>
          <w:rFonts w:eastAsia="仿宋_GB2312"/>
          <w:sz w:val="24"/>
        </w:rPr>
      </w:pPr>
      <w:r>
        <w:rPr>
          <w:rFonts w:eastAsia="仿宋_GB2312"/>
          <w:sz w:val="24"/>
        </w:rPr>
        <w:t>第三十三条　投资建设单位有下列行为之一的，由县级以上人民政府安全生产监督管理部门给予警告，责令限期改正；逾期未改正的，处</w:t>
      </w:r>
      <w:r>
        <w:rPr>
          <w:rFonts w:eastAsia="仿宋_GB2312"/>
          <w:sz w:val="24"/>
        </w:rPr>
        <w:t>3000</w:t>
      </w:r>
      <w:r>
        <w:rPr>
          <w:rFonts w:eastAsia="仿宋_GB2312"/>
          <w:sz w:val="24"/>
        </w:rPr>
        <w:t>元以上</w:t>
      </w:r>
      <w:r>
        <w:rPr>
          <w:rFonts w:eastAsia="仿宋_GB2312"/>
          <w:sz w:val="24"/>
        </w:rPr>
        <w:t>1</w:t>
      </w:r>
      <w:r>
        <w:rPr>
          <w:rFonts w:eastAsia="仿宋_GB2312"/>
          <w:sz w:val="24"/>
        </w:rPr>
        <w:t>万元以下的罚款：</w:t>
      </w:r>
    </w:p>
    <w:p w14:paraId="40F5BBE4" w14:textId="77777777" w:rsidR="001E748D" w:rsidRDefault="000F235D">
      <w:pPr>
        <w:spacing w:line="300" w:lineRule="exact"/>
        <w:ind w:firstLineChars="200" w:firstLine="480"/>
        <w:rPr>
          <w:rFonts w:eastAsia="仿宋_GB2312"/>
          <w:sz w:val="24"/>
        </w:rPr>
      </w:pPr>
      <w:r>
        <w:rPr>
          <w:rFonts w:eastAsia="仿宋_GB2312"/>
          <w:sz w:val="24"/>
        </w:rPr>
        <w:t xml:space="preserve"> (</w:t>
      </w:r>
      <w:proofErr w:type="gramStart"/>
      <w:r>
        <w:rPr>
          <w:rFonts w:eastAsia="仿宋_GB2312"/>
          <w:sz w:val="24"/>
        </w:rPr>
        <w:t>一</w:t>
      </w:r>
      <w:proofErr w:type="gramEnd"/>
      <w:r>
        <w:rPr>
          <w:rFonts w:eastAsia="仿宋_GB2312"/>
          <w:sz w:val="24"/>
        </w:rPr>
        <w:t>)</w:t>
      </w:r>
      <w:r>
        <w:rPr>
          <w:rFonts w:eastAsia="仿宋_GB2312"/>
          <w:sz w:val="24"/>
        </w:rPr>
        <w:t>未依法进行</w:t>
      </w:r>
      <w:r>
        <w:rPr>
          <w:rFonts w:eastAsia="仿宋_GB2312"/>
          <w:sz w:val="24"/>
        </w:rPr>
        <w:t>建设项目设立的安全生产条件论证，并向安全生产监督管理部门备案的；</w:t>
      </w:r>
    </w:p>
    <w:p w14:paraId="2E35F445" w14:textId="77777777" w:rsidR="001E748D" w:rsidRDefault="000F235D">
      <w:pPr>
        <w:spacing w:line="300" w:lineRule="exact"/>
        <w:ind w:firstLineChars="200" w:firstLine="480"/>
        <w:rPr>
          <w:rFonts w:eastAsia="仿宋_GB2312"/>
          <w:sz w:val="24"/>
        </w:rPr>
      </w:pPr>
      <w:r>
        <w:rPr>
          <w:rFonts w:eastAsia="仿宋_GB2312"/>
          <w:sz w:val="24"/>
        </w:rPr>
        <w:t xml:space="preserve"> (</w:t>
      </w:r>
      <w:r>
        <w:rPr>
          <w:rFonts w:eastAsia="仿宋_GB2312"/>
          <w:sz w:val="24"/>
        </w:rPr>
        <w:t>二</w:t>
      </w:r>
      <w:r>
        <w:rPr>
          <w:rFonts w:eastAsia="仿宋_GB2312"/>
          <w:sz w:val="24"/>
        </w:rPr>
        <w:t>)</w:t>
      </w:r>
      <w:r>
        <w:rPr>
          <w:rFonts w:eastAsia="仿宋_GB2312"/>
          <w:sz w:val="24"/>
        </w:rPr>
        <w:t>建设项目安全设施竣工后，未依法组织对安全设施进行检验、检测的。</w:t>
      </w:r>
    </w:p>
    <w:p w14:paraId="66E8B7C2" w14:textId="77777777" w:rsidR="001E748D" w:rsidRDefault="000F235D">
      <w:pPr>
        <w:spacing w:line="300" w:lineRule="exact"/>
        <w:ind w:firstLineChars="200" w:firstLine="480"/>
        <w:rPr>
          <w:rFonts w:eastAsia="仿宋_GB2312"/>
          <w:sz w:val="24"/>
        </w:rPr>
      </w:pPr>
      <w:r>
        <w:rPr>
          <w:rFonts w:eastAsia="仿宋_GB2312"/>
          <w:sz w:val="24"/>
        </w:rPr>
        <w:t>第三十四条　建设项目应当进行安全审查而未经安全审查合格，设计单位擅自进行设计，或者未依照有关安全生产的法律、法规、规章和标准以及建设项目设立安全评价报告进行安全设施设计的，由县级以上人民政府安全生产监督管理部门责令限期改正，可处</w:t>
      </w:r>
      <w:r>
        <w:rPr>
          <w:rFonts w:eastAsia="仿宋_GB2312"/>
          <w:sz w:val="24"/>
        </w:rPr>
        <w:t>5000</w:t>
      </w:r>
      <w:r>
        <w:rPr>
          <w:rFonts w:eastAsia="仿宋_GB2312"/>
          <w:sz w:val="24"/>
        </w:rPr>
        <w:t>元以上</w:t>
      </w:r>
      <w:r>
        <w:rPr>
          <w:rFonts w:eastAsia="仿宋_GB2312"/>
          <w:sz w:val="24"/>
        </w:rPr>
        <w:t>2</w:t>
      </w:r>
      <w:r>
        <w:rPr>
          <w:rFonts w:eastAsia="仿宋_GB2312"/>
          <w:sz w:val="24"/>
        </w:rPr>
        <w:t>万元以下的罚款。</w:t>
      </w:r>
    </w:p>
    <w:p w14:paraId="08DE6C44" w14:textId="77777777" w:rsidR="001E748D" w:rsidRDefault="000F235D">
      <w:pPr>
        <w:spacing w:line="300" w:lineRule="exact"/>
        <w:ind w:firstLineChars="200" w:firstLine="480"/>
        <w:rPr>
          <w:rFonts w:eastAsia="仿宋_GB2312"/>
          <w:sz w:val="24"/>
        </w:rPr>
      </w:pPr>
      <w:r>
        <w:rPr>
          <w:rFonts w:eastAsia="仿宋_GB2312"/>
          <w:sz w:val="24"/>
        </w:rPr>
        <w:t>第三十五条　建设项目安全设施设计应当进行审查而未经审查合格，施工单位擅自进行施工，或者未按照批准的安全设施设计进行施工的，由县级以上人民政府建设行政主管部门责令限期改正，可处</w:t>
      </w:r>
      <w:r>
        <w:rPr>
          <w:rFonts w:eastAsia="仿宋_GB2312"/>
          <w:sz w:val="24"/>
        </w:rPr>
        <w:t>1</w:t>
      </w:r>
      <w:r>
        <w:rPr>
          <w:rFonts w:eastAsia="仿宋_GB2312"/>
          <w:sz w:val="24"/>
        </w:rPr>
        <w:t>万元以上</w:t>
      </w:r>
      <w:r>
        <w:rPr>
          <w:rFonts w:eastAsia="仿宋_GB2312"/>
          <w:sz w:val="24"/>
        </w:rPr>
        <w:t>3</w:t>
      </w:r>
      <w:r>
        <w:rPr>
          <w:rFonts w:eastAsia="仿宋_GB2312"/>
          <w:sz w:val="24"/>
        </w:rPr>
        <w:t>万元以下的罚款。</w:t>
      </w:r>
    </w:p>
    <w:p w14:paraId="57EC1790" w14:textId="77777777" w:rsidR="001E748D" w:rsidRDefault="000F235D">
      <w:pPr>
        <w:spacing w:line="300" w:lineRule="exact"/>
        <w:ind w:firstLineChars="200" w:firstLine="480"/>
        <w:rPr>
          <w:rFonts w:eastAsia="仿宋_GB2312"/>
          <w:sz w:val="24"/>
        </w:rPr>
      </w:pPr>
      <w:r>
        <w:rPr>
          <w:rFonts w:eastAsia="仿宋_GB2312"/>
          <w:sz w:val="24"/>
        </w:rPr>
        <w:t>第三十六条　建设项目未按规定进行安全评价，或者承担安全评价的中介机构出具虚假报告的，依照《中华人民共和国安全生产法》、《山东省安全生产条例》等法律、法规的规定进行处罚。</w:t>
      </w:r>
    </w:p>
    <w:p w14:paraId="1750C542" w14:textId="77777777" w:rsidR="001E748D" w:rsidRDefault="000F235D">
      <w:pPr>
        <w:pageBreakBefore/>
        <w:jc w:val="center"/>
        <w:rPr>
          <w:b/>
          <w:sz w:val="44"/>
          <w:szCs w:val="44"/>
        </w:rPr>
      </w:pPr>
      <w:r>
        <w:rPr>
          <w:rFonts w:hint="eastAsia"/>
          <w:b/>
          <w:sz w:val="44"/>
          <w:szCs w:val="44"/>
        </w:rPr>
        <w:lastRenderedPageBreak/>
        <w:t>安全设施“三同时”管理登记表</w:t>
      </w:r>
    </w:p>
    <w:p w14:paraId="10AC3591" w14:textId="77777777" w:rsidR="001E748D" w:rsidRDefault="000F235D">
      <w:pPr>
        <w:rPr>
          <w:b/>
          <w:sz w:val="32"/>
          <w:szCs w:val="32"/>
        </w:rPr>
      </w:pPr>
      <w:r>
        <w:rPr>
          <w:rFonts w:hint="eastAsia"/>
          <w:b/>
          <w:sz w:val="32"/>
          <w:szCs w:val="32"/>
        </w:rPr>
        <w:t>企业（单位）：</w:t>
      </w:r>
    </w:p>
    <w:tbl>
      <w:tblPr>
        <w:tblW w:w="14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273"/>
        <w:gridCol w:w="989"/>
        <w:gridCol w:w="874"/>
        <w:gridCol w:w="801"/>
        <w:gridCol w:w="1063"/>
        <w:gridCol w:w="931"/>
        <w:gridCol w:w="1355"/>
        <w:gridCol w:w="897"/>
        <w:gridCol w:w="1255"/>
        <w:gridCol w:w="1076"/>
        <w:gridCol w:w="1076"/>
        <w:gridCol w:w="1076"/>
        <w:gridCol w:w="968"/>
      </w:tblGrid>
      <w:tr w:rsidR="001E748D" w14:paraId="31FE607E" w14:textId="77777777">
        <w:tc>
          <w:tcPr>
            <w:tcW w:w="540" w:type="dxa"/>
          </w:tcPr>
          <w:p w14:paraId="398FC52E" w14:textId="77777777" w:rsidR="001E748D" w:rsidRDefault="000F235D">
            <w:pPr>
              <w:spacing w:line="400" w:lineRule="exact"/>
              <w:rPr>
                <w:spacing w:val="-20"/>
                <w:w w:val="90"/>
                <w:sz w:val="32"/>
                <w:szCs w:val="32"/>
              </w:rPr>
            </w:pPr>
            <w:r>
              <w:rPr>
                <w:rFonts w:hint="eastAsia"/>
                <w:spacing w:val="-20"/>
                <w:w w:val="90"/>
                <w:sz w:val="32"/>
                <w:szCs w:val="32"/>
              </w:rPr>
              <w:t>序号</w:t>
            </w:r>
          </w:p>
        </w:tc>
        <w:tc>
          <w:tcPr>
            <w:tcW w:w="1273" w:type="dxa"/>
          </w:tcPr>
          <w:p w14:paraId="5B8C56D1" w14:textId="77777777" w:rsidR="001E748D" w:rsidRDefault="000F235D">
            <w:pPr>
              <w:spacing w:line="400" w:lineRule="exact"/>
              <w:rPr>
                <w:spacing w:val="-20"/>
                <w:w w:val="90"/>
                <w:sz w:val="32"/>
                <w:szCs w:val="32"/>
              </w:rPr>
            </w:pPr>
            <w:r>
              <w:rPr>
                <w:rFonts w:hint="eastAsia"/>
                <w:spacing w:val="-20"/>
                <w:w w:val="90"/>
                <w:sz w:val="32"/>
                <w:szCs w:val="32"/>
              </w:rPr>
              <w:t>项目名称及立项时间</w:t>
            </w:r>
          </w:p>
        </w:tc>
        <w:tc>
          <w:tcPr>
            <w:tcW w:w="989" w:type="dxa"/>
          </w:tcPr>
          <w:p w14:paraId="31EB795A" w14:textId="77777777" w:rsidR="001E748D" w:rsidRDefault="000F235D">
            <w:pPr>
              <w:spacing w:line="400" w:lineRule="exact"/>
              <w:rPr>
                <w:spacing w:val="-20"/>
                <w:w w:val="90"/>
                <w:sz w:val="32"/>
                <w:szCs w:val="32"/>
              </w:rPr>
            </w:pPr>
            <w:r>
              <w:rPr>
                <w:rFonts w:hint="eastAsia"/>
                <w:spacing w:val="-20"/>
                <w:w w:val="90"/>
                <w:sz w:val="32"/>
                <w:szCs w:val="32"/>
              </w:rPr>
              <w:t>总投资</w:t>
            </w:r>
          </w:p>
        </w:tc>
        <w:tc>
          <w:tcPr>
            <w:tcW w:w="874" w:type="dxa"/>
          </w:tcPr>
          <w:p w14:paraId="319B3AFA" w14:textId="77777777" w:rsidR="001E748D" w:rsidRDefault="000F235D">
            <w:pPr>
              <w:spacing w:line="400" w:lineRule="exact"/>
              <w:rPr>
                <w:spacing w:val="-20"/>
                <w:w w:val="90"/>
                <w:sz w:val="32"/>
                <w:szCs w:val="32"/>
              </w:rPr>
            </w:pPr>
            <w:r>
              <w:rPr>
                <w:rFonts w:hint="eastAsia"/>
                <w:spacing w:val="-20"/>
                <w:w w:val="90"/>
                <w:sz w:val="32"/>
                <w:szCs w:val="32"/>
              </w:rPr>
              <w:t>安全投资</w:t>
            </w:r>
          </w:p>
        </w:tc>
        <w:tc>
          <w:tcPr>
            <w:tcW w:w="801" w:type="dxa"/>
          </w:tcPr>
          <w:p w14:paraId="2B325506" w14:textId="77777777" w:rsidR="001E748D" w:rsidRDefault="000F235D">
            <w:pPr>
              <w:spacing w:line="400" w:lineRule="exact"/>
              <w:rPr>
                <w:spacing w:val="-20"/>
                <w:w w:val="90"/>
                <w:sz w:val="32"/>
                <w:szCs w:val="32"/>
              </w:rPr>
            </w:pPr>
            <w:r>
              <w:rPr>
                <w:rFonts w:hint="eastAsia"/>
                <w:spacing w:val="-20"/>
                <w:w w:val="90"/>
                <w:sz w:val="32"/>
                <w:szCs w:val="32"/>
              </w:rPr>
              <w:t>设计单位</w:t>
            </w:r>
          </w:p>
        </w:tc>
        <w:tc>
          <w:tcPr>
            <w:tcW w:w="1063" w:type="dxa"/>
          </w:tcPr>
          <w:p w14:paraId="44F4969B" w14:textId="77777777" w:rsidR="001E748D" w:rsidRDefault="000F235D">
            <w:pPr>
              <w:spacing w:line="400" w:lineRule="exact"/>
              <w:rPr>
                <w:spacing w:val="-20"/>
                <w:w w:val="90"/>
                <w:sz w:val="32"/>
                <w:szCs w:val="32"/>
              </w:rPr>
            </w:pPr>
            <w:r>
              <w:rPr>
                <w:rFonts w:hint="eastAsia"/>
                <w:spacing w:val="-20"/>
                <w:w w:val="90"/>
                <w:sz w:val="32"/>
                <w:szCs w:val="32"/>
              </w:rPr>
              <w:t>批准单位及文号</w:t>
            </w:r>
          </w:p>
        </w:tc>
        <w:tc>
          <w:tcPr>
            <w:tcW w:w="931" w:type="dxa"/>
          </w:tcPr>
          <w:p w14:paraId="76428076" w14:textId="77777777" w:rsidR="001E748D" w:rsidRDefault="000F235D">
            <w:pPr>
              <w:spacing w:line="400" w:lineRule="exact"/>
              <w:rPr>
                <w:spacing w:val="-20"/>
                <w:w w:val="90"/>
                <w:sz w:val="32"/>
                <w:szCs w:val="32"/>
              </w:rPr>
            </w:pPr>
            <w:r>
              <w:rPr>
                <w:rFonts w:hint="eastAsia"/>
                <w:spacing w:val="-20"/>
                <w:w w:val="90"/>
                <w:sz w:val="32"/>
                <w:szCs w:val="32"/>
              </w:rPr>
              <w:t>施工单位名称</w:t>
            </w:r>
          </w:p>
        </w:tc>
        <w:tc>
          <w:tcPr>
            <w:tcW w:w="1355" w:type="dxa"/>
          </w:tcPr>
          <w:p w14:paraId="70472BFF" w14:textId="77777777" w:rsidR="001E748D" w:rsidRDefault="000F235D">
            <w:pPr>
              <w:spacing w:line="400" w:lineRule="exact"/>
              <w:rPr>
                <w:spacing w:val="-20"/>
                <w:w w:val="90"/>
                <w:sz w:val="32"/>
                <w:szCs w:val="32"/>
              </w:rPr>
            </w:pPr>
            <w:r>
              <w:rPr>
                <w:rFonts w:hint="eastAsia"/>
                <w:spacing w:val="-20"/>
                <w:w w:val="90"/>
                <w:sz w:val="32"/>
                <w:szCs w:val="32"/>
              </w:rPr>
              <w:t>施工单位</w:t>
            </w:r>
            <w:r>
              <w:rPr>
                <w:rFonts w:hint="eastAsia"/>
                <w:spacing w:val="-20"/>
                <w:w w:val="90"/>
                <w:sz w:val="32"/>
                <w:szCs w:val="32"/>
              </w:rPr>
              <w:t>资质证号</w:t>
            </w:r>
          </w:p>
        </w:tc>
        <w:tc>
          <w:tcPr>
            <w:tcW w:w="897" w:type="dxa"/>
          </w:tcPr>
          <w:p w14:paraId="756FBCA9" w14:textId="77777777" w:rsidR="001E748D" w:rsidRDefault="000F235D">
            <w:pPr>
              <w:spacing w:line="400" w:lineRule="exact"/>
              <w:rPr>
                <w:spacing w:val="-20"/>
                <w:w w:val="90"/>
                <w:sz w:val="32"/>
                <w:szCs w:val="32"/>
              </w:rPr>
            </w:pPr>
            <w:r>
              <w:rPr>
                <w:rFonts w:hint="eastAsia"/>
                <w:spacing w:val="-20"/>
                <w:w w:val="90"/>
                <w:sz w:val="32"/>
                <w:szCs w:val="32"/>
              </w:rPr>
              <w:t>开工时间</w:t>
            </w:r>
          </w:p>
        </w:tc>
        <w:tc>
          <w:tcPr>
            <w:tcW w:w="1255" w:type="dxa"/>
          </w:tcPr>
          <w:p w14:paraId="5AA5964E" w14:textId="77777777" w:rsidR="001E748D" w:rsidRDefault="000F235D">
            <w:pPr>
              <w:spacing w:line="400" w:lineRule="exact"/>
              <w:rPr>
                <w:spacing w:val="-20"/>
                <w:w w:val="90"/>
                <w:sz w:val="32"/>
                <w:szCs w:val="32"/>
              </w:rPr>
            </w:pPr>
            <w:r>
              <w:rPr>
                <w:rFonts w:hint="eastAsia"/>
                <w:spacing w:val="-20"/>
                <w:w w:val="90"/>
                <w:sz w:val="32"/>
                <w:szCs w:val="32"/>
              </w:rPr>
              <w:t>安全评价机构名称</w:t>
            </w:r>
          </w:p>
        </w:tc>
        <w:tc>
          <w:tcPr>
            <w:tcW w:w="1076" w:type="dxa"/>
          </w:tcPr>
          <w:p w14:paraId="1D84125E" w14:textId="77777777" w:rsidR="001E748D" w:rsidRDefault="000F235D">
            <w:pPr>
              <w:spacing w:line="400" w:lineRule="exact"/>
              <w:rPr>
                <w:spacing w:val="-20"/>
                <w:w w:val="90"/>
                <w:sz w:val="32"/>
                <w:szCs w:val="32"/>
              </w:rPr>
            </w:pPr>
            <w:r>
              <w:rPr>
                <w:rFonts w:hint="eastAsia"/>
                <w:spacing w:val="-20"/>
                <w:w w:val="90"/>
                <w:sz w:val="32"/>
                <w:szCs w:val="32"/>
              </w:rPr>
              <w:t>评价结果</w:t>
            </w:r>
          </w:p>
        </w:tc>
        <w:tc>
          <w:tcPr>
            <w:tcW w:w="1076" w:type="dxa"/>
          </w:tcPr>
          <w:p w14:paraId="6EC1666E" w14:textId="77777777" w:rsidR="001E748D" w:rsidRDefault="000F235D">
            <w:pPr>
              <w:spacing w:line="400" w:lineRule="exact"/>
              <w:rPr>
                <w:spacing w:val="-20"/>
                <w:w w:val="90"/>
                <w:sz w:val="32"/>
                <w:szCs w:val="32"/>
              </w:rPr>
            </w:pPr>
            <w:r>
              <w:rPr>
                <w:rFonts w:hint="eastAsia"/>
                <w:spacing w:val="-20"/>
                <w:w w:val="90"/>
                <w:sz w:val="32"/>
                <w:szCs w:val="32"/>
              </w:rPr>
              <w:t>评价报告查询途径</w:t>
            </w:r>
          </w:p>
        </w:tc>
        <w:tc>
          <w:tcPr>
            <w:tcW w:w="1076" w:type="dxa"/>
          </w:tcPr>
          <w:p w14:paraId="0C837257" w14:textId="77777777" w:rsidR="001E748D" w:rsidRDefault="000F235D">
            <w:pPr>
              <w:spacing w:line="400" w:lineRule="exact"/>
              <w:rPr>
                <w:spacing w:val="-20"/>
                <w:w w:val="90"/>
                <w:sz w:val="32"/>
                <w:szCs w:val="32"/>
              </w:rPr>
            </w:pPr>
            <w:r>
              <w:rPr>
                <w:rFonts w:hint="eastAsia"/>
                <w:spacing w:val="-20"/>
                <w:w w:val="90"/>
                <w:sz w:val="32"/>
                <w:szCs w:val="32"/>
              </w:rPr>
              <w:t>竣工验收时间</w:t>
            </w:r>
          </w:p>
        </w:tc>
        <w:tc>
          <w:tcPr>
            <w:tcW w:w="968" w:type="dxa"/>
          </w:tcPr>
          <w:p w14:paraId="29C62822" w14:textId="77777777" w:rsidR="001E748D" w:rsidRDefault="000F235D">
            <w:pPr>
              <w:spacing w:line="400" w:lineRule="exact"/>
              <w:rPr>
                <w:spacing w:val="-20"/>
                <w:w w:val="90"/>
                <w:sz w:val="32"/>
                <w:szCs w:val="32"/>
              </w:rPr>
            </w:pPr>
            <w:r>
              <w:rPr>
                <w:rFonts w:hint="eastAsia"/>
                <w:spacing w:val="-20"/>
                <w:w w:val="90"/>
                <w:sz w:val="32"/>
                <w:szCs w:val="32"/>
              </w:rPr>
              <w:t>验收结果</w:t>
            </w:r>
          </w:p>
        </w:tc>
      </w:tr>
      <w:tr w:rsidR="001E748D" w14:paraId="78F66F99" w14:textId="77777777">
        <w:tc>
          <w:tcPr>
            <w:tcW w:w="540" w:type="dxa"/>
          </w:tcPr>
          <w:p w14:paraId="06C887D6" w14:textId="77777777" w:rsidR="001E748D" w:rsidRDefault="001E748D">
            <w:pPr>
              <w:rPr>
                <w:b/>
                <w:sz w:val="32"/>
                <w:szCs w:val="32"/>
              </w:rPr>
            </w:pPr>
          </w:p>
          <w:p w14:paraId="560FC9D9" w14:textId="77777777" w:rsidR="001E748D" w:rsidRDefault="001E748D">
            <w:pPr>
              <w:rPr>
                <w:b/>
                <w:sz w:val="32"/>
                <w:szCs w:val="32"/>
              </w:rPr>
            </w:pPr>
          </w:p>
          <w:p w14:paraId="36BF7102" w14:textId="77777777" w:rsidR="001E748D" w:rsidRDefault="001E748D">
            <w:pPr>
              <w:rPr>
                <w:b/>
                <w:sz w:val="32"/>
                <w:szCs w:val="32"/>
              </w:rPr>
            </w:pPr>
          </w:p>
        </w:tc>
        <w:tc>
          <w:tcPr>
            <w:tcW w:w="1273" w:type="dxa"/>
          </w:tcPr>
          <w:p w14:paraId="695F3822" w14:textId="77777777" w:rsidR="001E748D" w:rsidRDefault="001E748D">
            <w:pPr>
              <w:rPr>
                <w:b/>
                <w:sz w:val="32"/>
                <w:szCs w:val="32"/>
              </w:rPr>
            </w:pPr>
          </w:p>
        </w:tc>
        <w:tc>
          <w:tcPr>
            <w:tcW w:w="989" w:type="dxa"/>
          </w:tcPr>
          <w:p w14:paraId="04F96B76" w14:textId="77777777" w:rsidR="001E748D" w:rsidRDefault="001E748D">
            <w:pPr>
              <w:rPr>
                <w:b/>
                <w:sz w:val="32"/>
                <w:szCs w:val="32"/>
              </w:rPr>
            </w:pPr>
          </w:p>
        </w:tc>
        <w:tc>
          <w:tcPr>
            <w:tcW w:w="874" w:type="dxa"/>
          </w:tcPr>
          <w:p w14:paraId="6F9C520D" w14:textId="77777777" w:rsidR="001E748D" w:rsidRDefault="001E748D">
            <w:pPr>
              <w:rPr>
                <w:b/>
                <w:sz w:val="32"/>
                <w:szCs w:val="32"/>
              </w:rPr>
            </w:pPr>
          </w:p>
        </w:tc>
        <w:tc>
          <w:tcPr>
            <w:tcW w:w="801" w:type="dxa"/>
          </w:tcPr>
          <w:p w14:paraId="5B04A1CD" w14:textId="77777777" w:rsidR="001E748D" w:rsidRDefault="001E748D">
            <w:pPr>
              <w:rPr>
                <w:b/>
                <w:sz w:val="32"/>
                <w:szCs w:val="32"/>
              </w:rPr>
            </w:pPr>
          </w:p>
        </w:tc>
        <w:tc>
          <w:tcPr>
            <w:tcW w:w="1063" w:type="dxa"/>
          </w:tcPr>
          <w:p w14:paraId="5BC010A9" w14:textId="77777777" w:rsidR="001E748D" w:rsidRDefault="001E748D">
            <w:pPr>
              <w:rPr>
                <w:b/>
                <w:sz w:val="32"/>
                <w:szCs w:val="32"/>
              </w:rPr>
            </w:pPr>
          </w:p>
        </w:tc>
        <w:tc>
          <w:tcPr>
            <w:tcW w:w="931" w:type="dxa"/>
          </w:tcPr>
          <w:p w14:paraId="724BFF67" w14:textId="77777777" w:rsidR="001E748D" w:rsidRDefault="001E748D">
            <w:pPr>
              <w:rPr>
                <w:b/>
                <w:sz w:val="32"/>
                <w:szCs w:val="32"/>
              </w:rPr>
            </w:pPr>
          </w:p>
        </w:tc>
        <w:tc>
          <w:tcPr>
            <w:tcW w:w="1355" w:type="dxa"/>
          </w:tcPr>
          <w:p w14:paraId="689214B7" w14:textId="77777777" w:rsidR="001E748D" w:rsidRDefault="001E748D">
            <w:pPr>
              <w:rPr>
                <w:b/>
                <w:sz w:val="32"/>
                <w:szCs w:val="32"/>
              </w:rPr>
            </w:pPr>
          </w:p>
        </w:tc>
        <w:tc>
          <w:tcPr>
            <w:tcW w:w="897" w:type="dxa"/>
          </w:tcPr>
          <w:p w14:paraId="4731ABE3" w14:textId="77777777" w:rsidR="001E748D" w:rsidRDefault="001E748D">
            <w:pPr>
              <w:rPr>
                <w:b/>
                <w:sz w:val="32"/>
                <w:szCs w:val="32"/>
              </w:rPr>
            </w:pPr>
          </w:p>
        </w:tc>
        <w:tc>
          <w:tcPr>
            <w:tcW w:w="1255" w:type="dxa"/>
          </w:tcPr>
          <w:p w14:paraId="579C0386" w14:textId="77777777" w:rsidR="001E748D" w:rsidRDefault="001E748D">
            <w:pPr>
              <w:rPr>
                <w:b/>
                <w:sz w:val="32"/>
                <w:szCs w:val="32"/>
              </w:rPr>
            </w:pPr>
          </w:p>
        </w:tc>
        <w:tc>
          <w:tcPr>
            <w:tcW w:w="1076" w:type="dxa"/>
          </w:tcPr>
          <w:p w14:paraId="17400047" w14:textId="77777777" w:rsidR="001E748D" w:rsidRDefault="001E748D">
            <w:pPr>
              <w:rPr>
                <w:b/>
                <w:sz w:val="32"/>
                <w:szCs w:val="32"/>
              </w:rPr>
            </w:pPr>
          </w:p>
        </w:tc>
        <w:tc>
          <w:tcPr>
            <w:tcW w:w="1076" w:type="dxa"/>
          </w:tcPr>
          <w:p w14:paraId="0D575A0B" w14:textId="77777777" w:rsidR="001E748D" w:rsidRDefault="001E748D">
            <w:pPr>
              <w:rPr>
                <w:b/>
                <w:sz w:val="32"/>
                <w:szCs w:val="32"/>
              </w:rPr>
            </w:pPr>
          </w:p>
        </w:tc>
        <w:tc>
          <w:tcPr>
            <w:tcW w:w="1076" w:type="dxa"/>
          </w:tcPr>
          <w:p w14:paraId="6B261EF3" w14:textId="77777777" w:rsidR="001E748D" w:rsidRDefault="001E748D">
            <w:pPr>
              <w:rPr>
                <w:b/>
                <w:sz w:val="32"/>
                <w:szCs w:val="32"/>
              </w:rPr>
            </w:pPr>
          </w:p>
        </w:tc>
        <w:tc>
          <w:tcPr>
            <w:tcW w:w="968" w:type="dxa"/>
          </w:tcPr>
          <w:p w14:paraId="307E5101" w14:textId="77777777" w:rsidR="001E748D" w:rsidRDefault="001E748D">
            <w:pPr>
              <w:rPr>
                <w:b/>
                <w:sz w:val="32"/>
                <w:szCs w:val="32"/>
              </w:rPr>
            </w:pPr>
          </w:p>
        </w:tc>
      </w:tr>
      <w:tr w:rsidR="001E748D" w14:paraId="77E1FB4A" w14:textId="77777777">
        <w:tc>
          <w:tcPr>
            <w:tcW w:w="540" w:type="dxa"/>
          </w:tcPr>
          <w:p w14:paraId="2124316D" w14:textId="77777777" w:rsidR="001E748D" w:rsidRDefault="001E748D">
            <w:pPr>
              <w:rPr>
                <w:b/>
                <w:sz w:val="32"/>
                <w:szCs w:val="32"/>
              </w:rPr>
            </w:pPr>
          </w:p>
          <w:p w14:paraId="0488EB5B" w14:textId="77777777" w:rsidR="001E748D" w:rsidRDefault="001E748D">
            <w:pPr>
              <w:rPr>
                <w:b/>
                <w:sz w:val="32"/>
                <w:szCs w:val="32"/>
              </w:rPr>
            </w:pPr>
          </w:p>
          <w:p w14:paraId="13B9C3D9" w14:textId="77777777" w:rsidR="001E748D" w:rsidRDefault="001E748D">
            <w:pPr>
              <w:rPr>
                <w:b/>
                <w:sz w:val="32"/>
                <w:szCs w:val="32"/>
              </w:rPr>
            </w:pPr>
          </w:p>
        </w:tc>
        <w:tc>
          <w:tcPr>
            <w:tcW w:w="1273" w:type="dxa"/>
          </w:tcPr>
          <w:p w14:paraId="589B21BD" w14:textId="77777777" w:rsidR="001E748D" w:rsidRDefault="001E748D">
            <w:pPr>
              <w:rPr>
                <w:b/>
                <w:sz w:val="32"/>
                <w:szCs w:val="32"/>
              </w:rPr>
            </w:pPr>
          </w:p>
        </w:tc>
        <w:tc>
          <w:tcPr>
            <w:tcW w:w="989" w:type="dxa"/>
          </w:tcPr>
          <w:p w14:paraId="526A3B8E" w14:textId="77777777" w:rsidR="001E748D" w:rsidRDefault="001E748D">
            <w:pPr>
              <w:rPr>
                <w:b/>
                <w:sz w:val="32"/>
                <w:szCs w:val="32"/>
              </w:rPr>
            </w:pPr>
          </w:p>
        </w:tc>
        <w:tc>
          <w:tcPr>
            <w:tcW w:w="874" w:type="dxa"/>
          </w:tcPr>
          <w:p w14:paraId="507BA601" w14:textId="77777777" w:rsidR="001E748D" w:rsidRDefault="001E748D">
            <w:pPr>
              <w:rPr>
                <w:b/>
                <w:sz w:val="32"/>
                <w:szCs w:val="32"/>
              </w:rPr>
            </w:pPr>
          </w:p>
        </w:tc>
        <w:tc>
          <w:tcPr>
            <w:tcW w:w="801" w:type="dxa"/>
          </w:tcPr>
          <w:p w14:paraId="329C5206" w14:textId="77777777" w:rsidR="001E748D" w:rsidRDefault="001E748D">
            <w:pPr>
              <w:rPr>
                <w:b/>
                <w:sz w:val="32"/>
                <w:szCs w:val="32"/>
              </w:rPr>
            </w:pPr>
          </w:p>
        </w:tc>
        <w:tc>
          <w:tcPr>
            <w:tcW w:w="1063" w:type="dxa"/>
          </w:tcPr>
          <w:p w14:paraId="32038BF8" w14:textId="77777777" w:rsidR="001E748D" w:rsidRDefault="001E748D">
            <w:pPr>
              <w:rPr>
                <w:b/>
                <w:sz w:val="32"/>
                <w:szCs w:val="32"/>
              </w:rPr>
            </w:pPr>
          </w:p>
        </w:tc>
        <w:tc>
          <w:tcPr>
            <w:tcW w:w="931" w:type="dxa"/>
          </w:tcPr>
          <w:p w14:paraId="4D1D7020" w14:textId="77777777" w:rsidR="001E748D" w:rsidRDefault="001E748D">
            <w:pPr>
              <w:rPr>
                <w:b/>
                <w:sz w:val="32"/>
                <w:szCs w:val="32"/>
              </w:rPr>
            </w:pPr>
          </w:p>
        </w:tc>
        <w:tc>
          <w:tcPr>
            <w:tcW w:w="1355" w:type="dxa"/>
          </w:tcPr>
          <w:p w14:paraId="7D635CF4" w14:textId="77777777" w:rsidR="001E748D" w:rsidRDefault="001E748D">
            <w:pPr>
              <w:rPr>
                <w:b/>
                <w:sz w:val="32"/>
                <w:szCs w:val="32"/>
              </w:rPr>
            </w:pPr>
          </w:p>
        </w:tc>
        <w:tc>
          <w:tcPr>
            <w:tcW w:w="897" w:type="dxa"/>
          </w:tcPr>
          <w:p w14:paraId="67F1FAF8" w14:textId="77777777" w:rsidR="001E748D" w:rsidRDefault="001E748D">
            <w:pPr>
              <w:rPr>
                <w:b/>
                <w:sz w:val="32"/>
                <w:szCs w:val="32"/>
              </w:rPr>
            </w:pPr>
          </w:p>
        </w:tc>
        <w:tc>
          <w:tcPr>
            <w:tcW w:w="1255" w:type="dxa"/>
          </w:tcPr>
          <w:p w14:paraId="4935DF86" w14:textId="77777777" w:rsidR="001E748D" w:rsidRDefault="001E748D">
            <w:pPr>
              <w:rPr>
                <w:b/>
                <w:sz w:val="32"/>
                <w:szCs w:val="32"/>
              </w:rPr>
            </w:pPr>
          </w:p>
        </w:tc>
        <w:tc>
          <w:tcPr>
            <w:tcW w:w="1076" w:type="dxa"/>
          </w:tcPr>
          <w:p w14:paraId="32CCF2F2" w14:textId="77777777" w:rsidR="001E748D" w:rsidRDefault="001E748D">
            <w:pPr>
              <w:rPr>
                <w:b/>
                <w:sz w:val="32"/>
                <w:szCs w:val="32"/>
              </w:rPr>
            </w:pPr>
          </w:p>
        </w:tc>
        <w:tc>
          <w:tcPr>
            <w:tcW w:w="1076" w:type="dxa"/>
          </w:tcPr>
          <w:p w14:paraId="7B90EA87" w14:textId="77777777" w:rsidR="001E748D" w:rsidRDefault="001E748D">
            <w:pPr>
              <w:rPr>
                <w:b/>
                <w:sz w:val="32"/>
                <w:szCs w:val="32"/>
              </w:rPr>
            </w:pPr>
          </w:p>
        </w:tc>
        <w:tc>
          <w:tcPr>
            <w:tcW w:w="1076" w:type="dxa"/>
          </w:tcPr>
          <w:p w14:paraId="01823B3A" w14:textId="77777777" w:rsidR="001E748D" w:rsidRDefault="001E748D">
            <w:pPr>
              <w:rPr>
                <w:b/>
                <w:sz w:val="32"/>
                <w:szCs w:val="32"/>
              </w:rPr>
            </w:pPr>
          </w:p>
        </w:tc>
        <w:tc>
          <w:tcPr>
            <w:tcW w:w="968" w:type="dxa"/>
          </w:tcPr>
          <w:p w14:paraId="7C26CF0C" w14:textId="77777777" w:rsidR="001E748D" w:rsidRDefault="001E748D">
            <w:pPr>
              <w:rPr>
                <w:b/>
                <w:sz w:val="32"/>
                <w:szCs w:val="32"/>
              </w:rPr>
            </w:pPr>
          </w:p>
        </w:tc>
      </w:tr>
      <w:tr w:rsidR="001E748D" w14:paraId="588624B4" w14:textId="77777777">
        <w:tc>
          <w:tcPr>
            <w:tcW w:w="540" w:type="dxa"/>
          </w:tcPr>
          <w:p w14:paraId="33723BE5" w14:textId="77777777" w:rsidR="001E748D" w:rsidRDefault="001E748D">
            <w:pPr>
              <w:rPr>
                <w:b/>
                <w:sz w:val="32"/>
                <w:szCs w:val="32"/>
              </w:rPr>
            </w:pPr>
          </w:p>
          <w:p w14:paraId="40709D54" w14:textId="77777777" w:rsidR="001E748D" w:rsidRDefault="001E748D">
            <w:pPr>
              <w:rPr>
                <w:b/>
                <w:sz w:val="32"/>
                <w:szCs w:val="32"/>
              </w:rPr>
            </w:pPr>
          </w:p>
          <w:p w14:paraId="3B5070E3" w14:textId="77777777" w:rsidR="001E748D" w:rsidRDefault="001E748D">
            <w:pPr>
              <w:rPr>
                <w:b/>
                <w:sz w:val="32"/>
                <w:szCs w:val="32"/>
              </w:rPr>
            </w:pPr>
          </w:p>
          <w:p w14:paraId="18079859" w14:textId="77777777" w:rsidR="001E748D" w:rsidRDefault="001E748D">
            <w:pPr>
              <w:rPr>
                <w:b/>
                <w:sz w:val="32"/>
                <w:szCs w:val="32"/>
              </w:rPr>
            </w:pPr>
          </w:p>
        </w:tc>
        <w:tc>
          <w:tcPr>
            <w:tcW w:w="1273" w:type="dxa"/>
          </w:tcPr>
          <w:p w14:paraId="766C46AD" w14:textId="77777777" w:rsidR="001E748D" w:rsidRDefault="001E748D">
            <w:pPr>
              <w:rPr>
                <w:b/>
                <w:sz w:val="32"/>
                <w:szCs w:val="32"/>
              </w:rPr>
            </w:pPr>
          </w:p>
        </w:tc>
        <w:tc>
          <w:tcPr>
            <w:tcW w:w="989" w:type="dxa"/>
          </w:tcPr>
          <w:p w14:paraId="32E04B77" w14:textId="77777777" w:rsidR="001E748D" w:rsidRDefault="001E748D">
            <w:pPr>
              <w:rPr>
                <w:b/>
                <w:sz w:val="32"/>
                <w:szCs w:val="32"/>
              </w:rPr>
            </w:pPr>
          </w:p>
        </w:tc>
        <w:tc>
          <w:tcPr>
            <w:tcW w:w="874" w:type="dxa"/>
          </w:tcPr>
          <w:p w14:paraId="61BBEE5E" w14:textId="77777777" w:rsidR="001E748D" w:rsidRDefault="001E748D">
            <w:pPr>
              <w:rPr>
                <w:b/>
                <w:sz w:val="32"/>
                <w:szCs w:val="32"/>
              </w:rPr>
            </w:pPr>
          </w:p>
        </w:tc>
        <w:tc>
          <w:tcPr>
            <w:tcW w:w="801" w:type="dxa"/>
          </w:tcPr>
          <w:p w14:paraId="01B479B3" w14:textId="77777777" w:rsidR="001E748D" w:rsidRDefault="001E748D">
            <w:pPr>
              <w:rPr>
                <w:b/>
                <w:sz w:val="32"/>
                <w:szCs w:val="32"/>
              </w:rPr>
            </w:pPr>
          </w:p>
        </w:tc>
        <w:tc>
          <w:tcPr>
            <w:tcW w:w="1063" w:type="dxa"/>
          </w:tcPr>
          <w:p w14:paraId="03AD6A93" w14:textId="77777777" w:rsidR="001E748D" w:rsidRDefault="001E748D">
            <w:pPr>
              <w:rPr>
                <w:b/>
                <w:sz w:val="32"/>
                <w:szCs w:val="32"/>
              </w:rPr>
            </w:pPr>
          </w:p>
        </w:tc>
        <w:tc>
          <w:tcPr>
            <w:tcW w:w="931" w:type="dxa"/>
          </w:tcPr>
          <w:p w14:paraId="2EDE32C4" w14:textId="77777777" w:rsidR="001E748D" w:rsidRDefault="001E748D">
            <w:pPr>
              <w:rPr>
                <w:b/>
                <w:sz w:val="32"/>
                <w:szCs w:val="32"/>
              </w:rPr>
            </w:pPr>
          </w:p>
        </w:tc>
        <w:tc>
          <w:tcPr>
            <w:tcW w:w="1355" w:type="dxa"/>
          </w:tcPr>
          <w:p w14:paraId="1D4E5DDD" w14:textId="77777777" w:rsidR="001E748D" w:rsidRDefault="001E748D">
            <w:pPr>
              <w:rPr>
                <w:b/>
                <w:sz w:val="32"/>
                <w:szCs w:val="32"/>
              </w:rPr>
            </w:pPr>
          </w:p>
        </w:tc>
        <w:tc>
          <w:tcPr>
            <w:tcW w:w="897" w:type="dxa"/>
          </w:tcPr>
          <w:p w14:paraId="6273BB9D" w14:textId="77777777" w:rsidR="001E748D" w:rsidRDefault="001E748D">
            <w:pPr>
              <w:rPr>
                <w:b/>
                <w:sz w:val="32"/>
                <w:szCs w:val="32"/>
              </w:rPr>
            </w:pPr>
          </w:p>
        </w:tc>
        <w:tc>
          <w:tcPr>
            <w:tcW w:w="1255" w:type="dxa"/>
          </w:tcPr>
          <w:p w14:paraId="0CF173CE" w14:textId="77777777" w:rsidR="001E748D" w:rsidRDefault="001E748D">
            <w:pPr>
              <w:rPr>
                <w:b/>
                <w:sz w:val="32"/>
                <w:szCs w:val="32"/>
              </w:rPr>
            </w:pPr>
          </w:p>
        </w:tc>
        <w:tc>
          <w:tcPr>
            <w:tcW w:w="1076" w:type="dxa"/>
          </w:tcPr>
          <w:p w14:paraId="25F46813" w14:textId="77777777" w:rsidR="001E748D" w:rsidRDefault="001E748D">
            <w:pPr>
              <w:rPr>
                <w:b/>
                <w:sz w:val="32"/>
                <w:szCs w:val="32"/>
              </w:rPr>
            </w:pPr>
          </w:p>
        </w:tc>
        <w:tc>
          <w:tcPr>
            <w:tcW w:w="1076" w:type="dxa"/>
          </w:tcPr>
          <w:p w14:paraId="2C496A42" w14:textId="77777777" w:rsidR="001E748D" w:rsidRDefault="001E748D">
            <w:pPr>
              <w:rPr>
                <w:b/>
                <w:sz w:val="32"/>
                <w:szCs w:val="32"/>
              </w:rPr>
            </w:pPr>
          </w:p>
        </w:tc>
        <w:tc>
          <w:tcPr>
            <w:tcW w:w="1076" w:type="dxa"/>
          </w:tcPr>
          <w:p w14:paraId="177E3926" w14:textId="77777777" w:rsidR="001E748D" w:rsidRDefault="001E748D">
            <w:pPr>
              <w:rPr>
                <w:b/>
                <w:sz w:val="32"/>
                <w:szCs w:val="32"/>
              </w:rPr>
            </w:pPr>
          </w:p>
        </w:tc>
        <w:tc>
          <w:tcPr>
            <w:tcW w:w="968" w:type="dxa"/>
          </w:tcPr>
          <w:p w14:paraId="6063321B" w14:textId="77777777" w:rsidR="001E748D" w:rsidRDefault="001E748D">
            <w:pPr>
              <w:rPr>
                <w:b/>
                <w:sz w:val="32"/>
                <w:szCs w:val="32"/>
              </w:rPr>
            </w:pPr>
          </w:p>
        </w:tc>
      </w:tr>
    </w:tbl>
    <w:p w14:paraId="2D3AE0A3" w14:textId="77777777" w:rsidR="001E748D" w:rsidRDefault="001E748D"/>
    <w:sectPr w:rsidR="001E748D">
      <w:pgSz w:w="16838" w:h="11906" w:orient="landscape"/>
      <w:pgMar w:top="567" w:right="1440" w:bottom="567"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551541" w14:textId="77777777" w:rsidR="000F235D" w:rsidRDefault="000F235D">
      <w:r>
        <w:separator/>
      </w:r>
    </w:p>
  </w:endnote>
  <w:endnote w:type="continuationSeparator" w:id="0">
    <w:p w14:paraId="19A1BEA1" w14:textId="77777777" w:rsidR="000F235D" w:rsidRDefault="000F2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jaVu Sans">
    <w:altName w:val="Ebrima"/>
    <w:charset w:val="00"/>
    <w:family w:val="roman"/>
    <w:pitch w:val="default"/>
    <w:sig w:usb0="20007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00"/>
    <w:family w:val="modern"/>
    <w:pitch w:val="default"/>
    <w:sig w:usb0="00000000" w:usb1="00000000" w:usb2="00000010" w:usb3="00000000" w:csb0="00040000" w:csb1="00000000"/>
  </w:font>
  <w:font w:name="楷体_GB2312">
    <w:altName w:val="微软雅黑"/>
    <w:charset w:val="00"/>
    <w:family w:val="modern"/>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831C58" w14:textId="77777777" w:rsidR="000F235D" w:rsidRDefault="000F235D">
      <w:r>
        <w:separator/>
      </w:r>
    </w:p>
  </w:footnote>
  <w:footnote w:type="continuationSeparator" w:id="0">
    <w:p w14:paraId="15628C08" w14:textId="77777777" w:rsidR="000F235D" w:rsidRDefault="000F23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748D"/>
    <w:rsid w:val="000F235D"/>
    <w:rsid w:val="001E748D"/>
    <w:rsid w:val="00DD3A92"/>
    <w:rsid w:val="12E600DE"/>
    <w:rsid w:val="35CF65F7"/>
    <w:rsid w:val="37FFB2A8"/>
    <w:rsid w:val="4B122831"/>
    <w:rsid w:val="7091733D"/>
    <w:rsid w:val="7EE24D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D8B572"/>
  <w15:docId w15:val="{85B94324-FD9E-4438-8BFE-C694A51D7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 w:type="paragraph" w:styleId="a5">
    <w:name w:val="Normal (Web)"/>
    <w:basedOn w:val="a"/>
    <w:qFormat/>
    <w:pPr>
      <w:widowControl/>
      <w:spacing w:before="100" w:beforeAutospacing="1" w:after="100" w:afterAutospacing="1"/>
      <w:jc w:val="left"/>
    </w:pPr>
    <w:rPr>
      <w:rFonts w:ascii="宋体" w:hAnsi="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226</Words>
  <Characters>1293</Characters>
  <Application>Microsoft Office Word</Application>
  <DocSecurity>0</DocSecurity>
  <Lines>10</Lines>
  <Paragraphs>3</Paragraphs>
  <ScaleCrop>false</ScaleCrop>
  <Company/>
  <LinksUpToDate>false</LinksUpToDate>
  <CharactersWithSpaces>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58237</cp:lastModifiedBy>
  <cp:revision>3</cp:revision>
  <dcterms:created xsi:type="dcterms:W3CDTF">2014-10-29T20:08:00Z</dcterms:created>
  <dcterms:modified xsi:type="dcterms:W3CDTF">2021-03-27T03:58:00Z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2052-2.7.1.4479</vt:lpwstr>
  </property>
</Properties>
</file>